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The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&amp; Unusable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&amp; Unusable Data</w:t>
      </w:r>
      <w:r>
        <w:t xml:space="preserve">. Subthemes &amp; Participant Quotes. [TO UPDATE]</w:t>
      </w:r>
    </w:p>
    <w:tbl>
      <w:tblPr>
        <w:tblStyle w:val="Table"/>
        <w:tblW w:type="pct" w:w="5000.0"/>
        <w:tblLook w:firstRow="1" w:lastRow="0" w:firstColumn="0" w:lastColumn="0" w:noHBand="0" w:noVBand="0"/>
        <w:tblCaption w:val="Table 13. Theme 2 - Confusing &amp; Unusable Data. Subthemes &amp; Participant Quotes. [TO UPDATE]"/>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Data Formats and Usability</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In some cases</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Search for Meaning and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The Practicality of Using-or Deleting–Your Data</w:t>
            </w:r>
          </w:p>
        </w:tc>
        <w:tc>
          <w:p>
            <w:pPr>
              <w:pStyle w:val="Compact"/>
              <w:jc w:val="left"/>
            </w:pPr>
            <w:r>
              <w:t xml:space="preserve">Participants wanted to use returned data to better understand themselves, but given that returned data lacked visualisations and interpretations, they were unable to practically use data in this way. There was also a strong desire to delete held data, or restrict its use, though participants did not see a clear path to achieving this.</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 [REF 90],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t xml:space="preserve">“</w:t>
      </w:r>
      <w:r>
        <w:t xml:space="preserve">there needs to be more enforcement</w:t>
      </w:r>
      <w: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others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(echoing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it more understandable. P2 made the point that data holders must be using tools themselves to make sense of people’s data:</w:t>
      </w:r>
      <w:r>
        <w:t xml:space="preserve"> </w:t>
      </w:r>
      <w:r>
        <w:rPr>
          <w:i/>
        </w:rPr>
        <w:t xml:space="preserve">“</w:t>
      </w:r>
      <w:r>
        <w:rPr>
          <w:i/>
        </w:rPr>
        <w:t xml:space="preserve">they’re not just looking at a JSON file, so I would like to have the same visualisation [as them]</w:t>
      </w:r>
      <w:r>
        <w:rPr>
          <w:i/>
        </w:rPr>
        <w:t xml:space="preserve">”</w:t>
      </w:r>
      <w:r>
        <w:t xml:space="preserve">.</w:t>
      </w:r>
    </w:p>
    <w:p>
      <w:pPr>
        <w:pStyle w:val="BodyText"/>
      </w:pPr>
      <w:r>
        <w:t xml:space="preserve">There was a sense in sending people individual data files, data had been removed from the environment in which it has meaning, and that the returned data excluded necessary context for interpretation. This was often seen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manifested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r>
        <w:t xml:space="preserve"> </w:t>
      </w: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access the valuable information within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they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The ability for participants to feel aware and in control of their data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Data Holders Enforce an Uneasy Trust</w:t>
      </w:r>
    </w:p>
    <w:p>
      <w:pPr>
        <w:numPr>
          <w:ilvl w:val="0"/>
          <w:numId w:val="1019"/>
        </w:numPr>
        <w:pStyle w:val="Compact"/>
      </w:pPr>
      <w:r>
        <w:t xml:space="preserve">Discomfort</w:t>
      </w:r>
    </w:p>
    <w:p>
      <w:pPr>
        <w:numPr>
          <w:ilvl w:val="1"/>
          <w:numId w:val="1020"/>
        </w:numPr>
        <w:pStyle w:val="Compact"/>
      </w:pPr>
      <w:r>
        <w:t xml:space="preserve">[lead in via wanting to control because of enforced trust]</w:t>
      </w:r>
    </w:p>
    <w:p>
      <w:pPr>
        <w:numPr>
          <w:ilvl w:val="1"/>
          <w:numId w:val="1020"/>
        </w:numPr>
        <w:pStyle w:val="Compact"/>
      </w:pPr>
      <w:r>
        <w:t xml:space="preserve">A significant proportion of discussions explored participants’ views on their relationships with providers. Participants were found to be uncomfortable about data collection, especially because of a sense (see section 5.1) of being in the dark about current data practices:</w:t>
      </w:r>
    </w:p>
    <w:p>
      <w:pPr>
        <w:numPr>
          <w:ilvl w:val="1"/>
          <w:numId w:val="1020"/>
        </w:numPr>
        <w:pStyle w:val="Compact"/>
      </w:pP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p>
    <w:p>
      <w:pPr>
        <w:numPr>
          <w:ilvl w:val="1"/>
          <w:numId w:val="1020"/>
        </w:numPr>
        <w:pStyle w:val="Compact"/>
      </w:pP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p>
    <w:p>
      <w:pPr>
        <w:numPr>
          <w:ilvl w:val="1"/>
          <w:numId w:val="1020"/>
        </w:numPr>
        <w:pStyle w:val="Compact"/>
      </w:pPr>
      <w:r>
        <w:t xml:space="preserve">“</w:t>
      </w:r>
      <w:r>
        <w:t xml:space="preserve">I don’t know how comfortable I am with Facebook having as much information as they do about my social circles.</w:t>
      </w:r>
      <w:r>
        <w:t xml:space="preserve">”</w:t>
      </w:r>
      <w:r>
        <w:t xml:space="preserve"> </w:t>
      </w:r>
      <w:r>
        <w:t xml:space="preserve">– P1</w:t>
      </w:r>
    </w:p>
    <w:p>
      <w:pPr>
        <w:numPr>
          <w:ilvl w:val="1"/>
          <w:numId w:val="1020"/>
        </w:numPr>
        <w:pStyle w:val="Compact"/>
      </w:pP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w:t>
      </w:r>
    </w:p>
    <w:p>
      <w:pPr>
        <w:numPr>
          <w:ilvl w:val="1"/>
          <w:numId w:val="1020"/>
        </w:numPr>
        <w:pStyle w:val="Compact"/>
      </w:pPr>
      <w:r>
        <w:t xml:space="preserve">P11 singled out ISPs as having the potential to track everything their customers look at online, noting that</w:t>
      </w:r>
      <w:r>
        <w:t xml:space="preserve"> </w:t>
      </w:r>
      <w:r>
        <w:t xml:space="preserve">“</w:t>
      </w:r>
      <w:r>
        <w:t xml:space="preserve">I don’t think you’ve got much choice about that.</w:t>
      </w:r>
      <w:r>
        <w:t xml:space="preserve">”</w:t>
      </w:r>
    </w:p>
    <w:p>
      <w:pPr>
        <w:numPr>
          <w:ilvl w:val="0"/>
          <w:numId w:val="1019"/>
        </w:numPr>
        <w:pStyle w:val="Compact"/>
      </w:pPr>
      <w:r>
        <w:t xml:space="preserve">potential for abuse</w:t>
      </w:r>
    </w:p>
    <w:p>
      <w:pPr>
        <w:numPr>
          <w:ilvl w:val="1"/>
          <w:numId w:val="1021"/>
        </w:numPr>
        <w:pStyle w:val="Compact"/>
      </w:pPr>
      <w:r>
        <w:t xml:space="preserve">Surveillance and manipulation</w:t>
      </w:r>
    </w:p>
    <w:p>
      <w:pPr>
        <w:numPr>
          <w:ilvl w:val="1"/>
          <w:numId w:val="1021"/>
        </w:numPr>
        <w:pStyle w:val="Compact"/>
      </w:pP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individuals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In a more extreme illustration, P10 shared her fears that data collected by WeChat and Weibu (the Chinese equivalents of Facebook Messenger and Twitter) would be at risk of abuse by the Chinese government.</w:t>
      </w:r>
    </w:p>
    <w:p>
      <w:pPr>
        <w:numPr>
          <w:ilvl w:val="0"/>
          <w:numId w:val="1019"/>
        </w:numPr>
        <w:pStyle w:val="Compact"/>
      </w:pPr>
      <w:r>
        <w:t xml:space="preserve">Data Holding (and denying access) is Power</w:t>
      </w:r>
    </w:p>
    <w:p>
      <w:pPr>
        <w:numPr>
          <w:ilvl w:val="1"/>
          <w:numId w:val="1022"/>
        </w:numPr>
        <w:pStyle w:val="Compact"/>
      </w:pPr>
      <w:r>
        <w:t xml:space="preserve">[potential =&gt; power] 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p>
    <w:p>
      <w:pPr>
        <w:numPr>
          <w:ilvl w:val="1"/>
          <w:numId w:val="1022"/>
        </w:numPr>
        <w:pStyle w:val="Compact"/>
      </w:pPr>
      <w:r>
        <w:t xml:space="preserve">“</w:t>
      </w:r>
      <w:r>
        <w:t xml:space="preserve">For me to have power over my data, I think is a fair and normal thing. But for a company to have power over [my] data means that it’s basically a proxy to have power over me.</w:t>
      </w:r>
      <w:r>
        <w:t xml:space="preserve">”</w:t>
      </w:r>
    </w:p>
    <w:p>
      <w:pPr>
        <w:numPr>
          <w:ilvl w:val="1"/>
          <w:numId w:val="1022"/>
        </w:numPr>
        <w:pStyle w:val="Compact"/>
      </w:pP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p>
    <w:p>
      <w:pPr>
        <w:numPr>
          <w:ilvl w:val="1"/>
          <w:numId w:val="1022"/>
        </w:numPr>
        <w:pStyle w:val="Compact"/>
      </w:pPr>
      <w:r>
        <w:t xml:space="preserve">However, P10 was critical of Niantic’s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w:t>
      </w:r>
    </w:p>
    <w:p>
      <w:pPr>
        <w:numPr>
          <w:ilvl w:val="0"/>
          <w:numId w:val="1019"/>
        </w:numPr>
        <w:pStyle w:val="Compact"/>
      </w:pPr>
      <w:r>
        <w:t xml:space="preserve">Sacrifice is required, there is no choice</w:t>
      </w:r>
    </w:p>
    <w:p>
      <w:pPr>
        <w:numPr>
          <w:ilvl w:val="1"/>
          <w:numId w:val="1023"/>
        </w:numPr>
        <w:pStyle w:val="Compact"/>
      </w:pPr>
      <w:r>
        <w:t xml:space="preserve">[no choice =&gt; sacrifice required] 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p>
    <w:p>
      <w:pPr>
        <w:numPr>
          <w:ilvl w:val="1"/>
          <w:numId w:val="1023"/>
        </w:numPr>
        <w:pStyle w:val="Compact"/>
      </w:pP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Accordingly, participants reported feeling resigned about personal data collection:</w:t>
      </w:r>
    </w:p>
    <w:p>
      <w:pPr>
        <w:numPr>
          <w:ilvl w:val="1"/>
          <w:numId w:val="1023"/>
        </w:numPr>
        <w:pStyle w:val="Compact"/>
      </w:pP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p>
    <w:p>
      <w:pPr>
        <w:numPr>
          <w:ilvl w:val="1"/>
          <w:numId w:val="1023"/>
        </w:numPr>
        <w:pStyle w:val="Compact"/>
      </w:pPr>
      <w:r>
        <w:t xml:space="preserve">Only choice is not to play</w:t>
      </w:r>
    </w:p>
    <w:p>
      <w:pPr>
        <w:numPr>
          <w:ilvl w:val="1"/>
          <w:numId w:val="1023"/>
        </w:numPr>
        <w:pStyle w:val="Compact"/>
      </w:pP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perceptions-of-data-holders"/>
    <w:p>
      <w:pPr>
        <w:pStyle w:val="Heading4"/>
      </w:pPr>
      <w:r>
        <w:rPr>
          <w:rStyle w:val="SectionNumber"/>
        </w:rPr>
        <w:t xml:space="preserve">5.4.4.2</w:t>
      </w:r>
      <w:r>
        <w:tab/>
      </w:r>
      <w:r>
        <w:t xml:space="preserve">Perceptions of Data Holders</w:t>
      </w:r>
    </w:p>
    <w:p>
      <w:pPr>
        <w:numPr>
          <w:ilvl w:val="0"/>
          <w:numId w:val="1024"/>
        </w:numPr>
        <w:pStyle w:val="Compact"/>
      </w:pPr>
      <w:r>
        <w:t xml:space="preserve">Perceived good data practices inform expectations and cause initial trust</w:t>
      </w:r>
    </w:p>
    <w:p>
      <w:pPr>
        <w:numPr>
          <w:ilvl w:val="1"/>
          <w:numId w:val="1025"/>
        </w:numPr>
        <w:pStyle w:val="Compact"/>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w:t>
      </w:r>
    </w:p>
    <w:p>
      <w:pPr>
        <w:numPr>
          <w:ilvl w:val="0"/>
          <w:numId w:val="1024"/>
        </w:numPr>
        <w:pStyle w:val="Compact"/>
      </w:pPr>
      <w:r>
        <w:t xml:space="preserve">Value and utility creates trust</w:t>
      </w:r>
    </w:p>
    <w:p>
      <w:pPr>
        <w:numPr>
          <w:ilvl w:val="1"/>
          <w:numId w:val="1026"/>
        </w:numPr>
        <w:pStyle w:val="Compact"/>
      </w:pP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p>
    <w:p>
      <w:pPr>
        <w:numPr>
          <w:ilvl w:val="1"/>
          <w:numId w:val="1026"/>
        </w:numPr>
        <w:pStyle w:val="Compact"/>
      </w:pPr>
      <w:r>
        <w:t xml:space="preserve">“</w:t>
      </w:r>
      <w:r>
        <w:t xml:space="preserve">This is woman-empowerment-orientated, so in that sense I think I do put my trust there as well.</w:t>
      </w:r>
      <w:r>
        <w:t xml:space="preserve">”</w:t>
      </w:r>
      <w:r>
        <w:t xml:space="preserve"> </w:t>
      </w:r>
      <w:r>
        <w:t xml:space="preserve">–P8</w:t>
      </w:r>
    </w:p>
    <w:p>
      <w:pPr>
        <w:numPr>
          <w:ilvl w:val="0"/>
          <w:numId w:val="1024"/>
        </w:numPr>
        <w:pStyle w:val="Compact"/>
      </w:pPr>
      <w:r>
        <w:t xml:space="preserve">Data-centric businesses and opaque businesses distrusted:</w:t>
      </w:r>
    </w:p>
    <w:p>
      <w:pPr>
        <w:numPr>
          <w:ilvl w:val="1"/>
          <w:numId w:val="1027"/>
        </w:numPr>
        <w:pStyle w:val="Compact"/>
      </w:pPr>
      <w:r>
        <w:t xml:space="preserve">P10 reported an extreme decrease in trust of Apple, not due to the GDPR request, but to a documentary that she had watched between interviews that had caused her to become suspicious of their control over her hardware. Here, GDPR represented an opportunity to compare data expectations with reality</w:t>
      </w:r>
    </w:p>
    <w:p>
      <w:pPr>
        <w:numPr>
          <w:ilvl w:val="1"/>
          <w:numId w:val="1027"/>
        </w:numPr>
        <w:pStyle w:val="Compact"/>
      </w:pP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numPr>
          <w:ilvl w:val="0"/>
          <w:numId w:val="1028"/>
        </w:numPr>
        <w:pStyle w:val="Compact"/>
      </w:pPr>
      <w:r>
        <w:t xml:space="preserve">Paying Attention to Data Practice Reduces Trust</w:t>
      </w:r>
    </w:p>
    <w:p>
      <w:pPr>
        <w:numPr>
          <w:ilvl w:val="1"/>
          <w:numId w:val="1029"/>
        </w:numPr>
        <w:pStyle w:val="Compact"/>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p>
    <w:p>
      <w:pPr>
        <w:numPr>
          <w:ilvl w:val="1"/>
          <w:numId w:val="1029"/>
        </w:numPr>
        <w:pStyle w:val="Compact"/>
      </w:pP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p>
    <w:p>
      <w:pPr>
        <w:numPr>
          <w:ilvl w:val="0"/>
          <w:numId w:val="1028"/>
        </w:numPr>
        <w:pStyle w:val="Compact"/>
      </w:pPr>
      <w:r>
        <w:t xml:space="preserve">Poor GDPR Handling damages trust</w:t>
      </w:r>
    </w:p>
    <w:p>
      <w:pPr>
        <w:numPr>
          <w:ilvl w:val="1"/>
          <w:numId w:val="1030"/>
        </w:numPr>
        <w:pStyle w:val="Compact"/>
      </w:pPr>
      <w:r>
        <w:t xml:space="preserve">As identified by P1, the reasons associated with his lowering of trust scores related not to the data itself, but to the perceived partial or full non-compliance (see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p>
    <w:p>
      <w:pPr>
        <w:numPr>
          <w:ilvl w:val="1"/>
          <w:numId w:val="1030"/>
        </w:numPr>
        <w:pStyle w:val="Compact"/>
      </w:pP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p>
    <w:p>
      <w:pPr>
        <w:numPr>
          <w:ilvl w:val="0"/>
          <w:numId w:val="1028"/>
        </w:numPr>
        <w:pStyle w:val="Compact"/>
      </w:pPr>
      <w:r>
        <w:t xml:space="preserve">GDPR increases awareness and learning</w:t>
      </w:r>
    </w:p>
    <w:p>
      <w:pPr>
        <w:numPr>
          <w:ilvl w:val="1"/>
          <w:numId w:val="1031"/>
        </w:numPr>
        <w:pStyle w:val="Compact"/>
      </w:pPr>
      <w:r>
        <w:t xml:space="preserve">increased awareness, learning is possible,</w:t>
      </w:r>
    </w:p>
    <w:p>
      <w:pPr>
        <w:numPr>
          <w:ilvl w:val="1"/>
          <w:numId w:val="1031"/>
        </w:numPr>
        <w:pStyle w:val="Compact"/>
      </w:pPr>
      <w:r>
        <w:t xml:space="preserve">Despite misgivings and feeling XXX</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p>
    <w:p>
      <w:pPr>
        <w:numPr>
          <w:ilvl w:val="2"/>
          <w:numId w:val="1032"/>
        </w:numPr>
        <w:pStyle w:val="Compact"/>
      </w:pP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p>
      <w:pPr>
        <w:numPr>
          <w:ilvl w:val="0"/>
          <w:numId w:val="1028"/>
        </w:numPr>
        <w:pStyle w:val="Compact"/>
      </w:pPr>
      <w:r>
        <w:t xml:space="preserve">transparency increases trust</w:t>
      </w:r>
    </w:p>
    <w:p>
      <w:pPr>
        <w:numPr>
          <w:ilvl w:val="1"/>
          <w:numId w:val="1033"/>
        </w:numPr>
        <w:pStyle w:val="Compact"/>
      </w:pPr>
      <w:r>
        <w:t xml:space="preserve">Positive impacts of transparency for data holders occurred in those cases where trust remained the same or even slightly increased over the process of the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p>
    <w:p>
      <w:pPr>
        <w:numPr>
          <w:ilvl w:val="1"/>
          <w:numId w:val="1033"/>
        </w:numPr>
        <w:pStyle w:val="Compac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established power imbalance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investment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[REF 9], suggesting completeness and compliance have not improved over this period. However,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[REF 21], or may even be erroneously dropped [REF 72]. Until individuals have a clear and effective means to issue complaints [REF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[REF 44] and legibility [REF 80], can reduce costs through common tooling and catalyse the building of tools to interpret and understand data. Such standards are emerging [REF 78] 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r>
        <w:t xml:space="preserve"> </w:t>
      </w: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 [REF 92] and–one can assume–an even smaller number conduct GDPR requests, this is likely to change as issues around data privacy and trust continue to take centre stage in global geopolitics [REF 98,REF 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[REF 25,REF 40,REF 97,REF 116–118] 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[REF 42].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p>
    <w:p>
      <w:pPr>
        <w:pStyle w:val="BodyText"/>
      </w:pPr>
      <w:r>
        <w:rPr>
          <w:b/>
        </w:rPr>
        <w:t xml:space="preserve">3) New customer demands indicate untapped business opportunities.</w:t>
      </w:r>
      <w:r>
        <w:t xml:space="preserve"> </w:t>
      </w:r>
      <w:r>
        <w:t xml:space="preserve">As the 500-member-strong MyData Global organization [REF 82] shows, there is growing demand for personal data empowerment. People’s personal data is splintered and trapped [REF 1,REF 16], and they cannot correlate data from different sources in order to reflect upon it, gain insights, and set goals [REF 70]. Due to commercial motivations, service providers generally deliver capabilities within a closed silo, not at the level of one’s wider environment [REF 2]. To be better empowered the individual could be the point of integration, the centre of their own Personal Data Ecosystem (PDE) [REF 81]. Life-level capabilities [REF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[REF 119], Digi.Me [REF 38], Mydex [REF 125], ethi [REF 58], HestiaLabs [REF 34], udaptor [REF 97] and exist.io [REF 120] as well as larger organisations like BBC R&amp;D [REF 13] and Microsoft [REF 75] 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[REF 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[REF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3" w:name="bibliography"/>
    <w:p>
      <w:pPr>
        <w:pStyle w:val="Heading1"/>
      </w:pPr>
      <w:r>
        <w:t xml:space="preserve">Bibliography</w:t>
      </w:r>
    </w:p>
    <w:bookmarkStart w:id="732"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8">
        <w:r>
          <w:rPr>
            <w:rStyle w:val="Hyperlink"/>
          </w:rPr>
          <w:t xml:space="preserve">https://www.ted.com/playlists/26/our_digital_lives</w:t>
        </w:r>
      </w:hyperlink>
      <w:r>
        <w:t xml:space="preserve">.</w:t>
      </w:r>
    </w:p>
    <w:bookmarkEnd w:id="689"/>
    <w:bookmarkStart w:id="691"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0">
        <w:r>
          <w:rPr>
            <w:rStyle w:val="Hyperlink"/>
          </w:rPr>
          <w:t xml:space="preserve">10.1145/2851581.2886436</w:t>
        </w:r>
      </w:hyperlink>
      <w:r>
        <w:t xml:space="preserve">.</w:t>
      </w:r>
    </w:p>
    <w:bookmarkEnd w:id="691"/>
    <w:bookmarkStart w:id="693" w:name="ref-wagner2012"/>
    <w:p>
      <w:pPr>
        <w:pStyle w:val="Bibliography"/>
      </w:pPr>
      <w:r>
        <w:t xml:space="preserve">Wagner, A. (2012) ‘Is internet access a human right?’ Available at:</w:t>
      </w:r>
      <w:r>
        <w:t xml:space="preserve"> </w:t>
      </w:r>
      <w:hyperlink r:id="rId692">
        <w:r>
          <w:rPr>
            <w:rStyle w:val="Hyperlink"/>
          </w:rPr>
          <w:t xml:space="preserve">https://www.theguardian.com/law/2012/jan/11/is-internet-access-a-human-right</w:t>
        </w:r>
      </w:hyperlink>
      <w:r>
        <w:t xml:space="preserve"> </w:t>
      </w:r>
      <w:r>
        <w:t xml:space="preserve">(Accessed: 23 March 2021).</w:t>
      </w:r>
    </w:p>
    <w:bookmarkEnd w:id="693"/>
    <w:bookmarkStart w:id="694" w:name="ref-waldman2020"/>
    <w:p>
      <w:pPr>
        <w:pStyle w:val="Bibliography"/>
      </w:pPr>
      <w:r>
        <w:t xml:space="preserve">Waldman, A. E. (2020) ‘Data Protection by Design ? A Critique of Article 25 of the GDPR’, 1239(2019), pp. 147–168.</w:t>
      </w:r>
    </w:p>
    <w:bookmarkEnd w:id="694"/>
    <w:bookmarkStart w:id="695"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5"/>
    <w:bookmarkStart w:id="697"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6">
        <w:r>
          <w:rPr>
            <w:rStyle w:val="Hyperlink"/>
          </w:rPr>
          <w:t xml:space="preserve">10.1145/329124.329126</w:t>
        </w:r>
      </w:hyperlink>
      <w:r>
        <w:t xml:space="preserve">.</w:t>
      </w:r>
    </w:p>
    <w:bookmarkEnd w:id="697"/>
    <w:bookmarkStart w:id="699"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9"/>
    <w:bookmarkStart w:id="700"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0"/>
    <w:bookmarkStart w:id="702"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1">
        <w:r>
          <w:rPr>
            <w:rStyle w:val="Hyperlink"/>
          </w:rPr>
          <w:t xml:space="preserve">10.1145/376929.376932</w:t>
        </w:r>
      </w:hyperlink>
      <w:r>
        <w:t xml:space="preserve">.</w:t>
      </w:r>
    </w:p>
    <w:bookmarkEnd w:id="702"/>
    <w:bookmarkStart w:id="704" w:name="ref-ubdi2019"/>
    <w:p>
      <w:pPr>
        <w:pStyle w:val="Bibliography"/>
      </w:pPr>
      <w:r>
        <w:t xml:space="preserve">‘Whose data is it anyway?’ (2019). 04: UBDI. Available at:</w:t>
      </w:r>
      <w:r>
        <w:t xml:space="preserve"> </w:t>
      </w:r>
      <w:hyperlink r:id="rId703">
        <w:r>
          <w:rPr>
            <w:rStyle w:val="Hyperlink"/>
          </w:rPr>
          <w:t xml:space="preserve">https://www.ubdi.com/blog/whose-data-is-it-anyway</w:t>
        </w:r>
      </w:hyperlink>
      <w:r>
        <w:t xml:space="preserve"> </w:t>
      </w:r>
      <w:r>
        <w:t xml:space="preserve">(Accessed: 31 March 2021).</w:t>
      </w:r>
    </w:p>
    <w:bookmarkEnd w:id="704"/>
    <w:bookmarkStart w:id="706" w:name="ref-personaldataio2021wiki"/>
    <w:p>
      <w:pPr>
        <w:pStyle w:val="Bibliography"/>
      </w:pPr>
      <w:r>
        <w:t xml:space="preserve">Wiki.personaldata.io (no date) ‘Subject Access Request Template’. Available at:</w:t>
      </w:r>
      <w:r>
        <w:t xml:space="preserve"> </w:t>
      </w:r>
      <w:hyperlink r:id="rId705">
        <w:r>
          <w:rPr>
            <w:rStyle w:val="Hyperlink"/>
          </w:rPr>
          <w:t xml:space="preserve">https://wiki.personaldata.io/wiki/Template:Access</w:t>
        </w:r>
      </w:hyperlink>
      <w:r>
        <w:t xml:space="preserve"> </w:t>
      </w:r>
      <w:r>
        <w:t xml:space="preserve">(Accessed: 21 September 2021).</w:t>
      </w:r>
    </w:p>
    <w:bookmarkEnd w:id="706"/>
    <w:bookmarkStart w:id="708"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7">
        <w:r>
          <w:rPr>
            <w:rStyle w:val="Hyperlink"/>
          </w:rPr>
          <w:t xml:space="preserve">10.2196/medinform.3525</w:t>
        </w:r>
      </w:hyperlink>
      <w:r>
        <w:t xml:space="preserve">.</w:t>
      </w:r>
    </w:p>
    <w:bookmarkEnd w:id="708"/>
    <w:bookmarkStart w:id="71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9">
        <w:r>
          <w:rPr>
            <w:rStyle w:val="Hyperlink"/>
          </w:rPr>
          <w:t xml:space="preserve">https://www.greatnorthcarerecord.org.uk</w:t>
        </w:r>
      </w:hyperlink>
      <w:r>
        <w:t xml:space="preserve">.</w:t>
      </w:r>
    </w:p>
    <w:bookmarkEnd w:id="710"/>
    <w:bookmarkStart w:id="712"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1">
        <w:r>
          <w:rPr>
            <w:rStyle w:val="Hyperlink"/>
          </w:rPr>
          <w:t xml:space="preserve">10.1017/s1474746411000108</w:t>
        </w:r>
      </w:hyperlink>
      <w:r>
        <w:t xml:space="preserve">.</w:t>
      </w:r>
    </w:p>
    <w:bookmarkEnd w:id="712"/>
    <w:bookmarkStart w:id="714" w:name="ref-wikipedia2005winfs"/>
    <w:p>
      <w:pPr>
        <w:pStyle w:val="Bibliography"/>
      </w:pPr>
      <w:r>
        <w:t xml:space="preserve">‘WinFS’ (no date). Available at:</w:t>
      </w:r>
      <w:r>
        <w:t xml:space="preserve"> </w:t>
      </w:r>
      <w:hyperlink r:id="rId713">
        <w:r>
          <w:rPr>
            <w:rStyle w:val="Hyperlink"/>
          </w:rPr>
          <w:t xml:space="preserve">https://en.wikipedia.org/wiki/WinFS</w:t>
        </w:r>
      </w:hyperlink>
      <w:r>
        <w:t xml:space="preserve">.</w:t>
      </w:r>
    </w:p>
    <w:bookmarkEnd w:id="714"/>
    <w:bookmarkStart w:id="715"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5"/>
    <w:bookmarkStart w:id="717"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6">
        <w:r>
          <w:rPr>
            <w:rStyle w:val="Hyperlink"/>
          </w:rPr>
          <w:t xml:space="preserve">10.1111/j.1467-954x.1990.tb03349.x</w:t>
        </w:r>
      </w:hyperlink>
      <w:r>
        <w:t xml:space="preserve">.</w:t>
      </w:r>
    </w:p>
    <w:bookmarkEnd w:id="717"/>
    <w:bookmarkStart w:id="719"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8">
        <w:r>
          <w:rPr>
            <w:rStyle w:val="Hyperlink"/>
          </w:rPr>
          <w:t xml:space="preserve">10.1145/1357054.1357156</w:t>
        </w:r>
      </w:hyperlink>
      <w:r>
        <w:t xml:space="preserve">.</w:t>
      </w:r>
    </w:p>
    <w:bookmarkEnd w:id="719"/>
    <w:bookmarkStart w:id="721" w:name="ref-xie2021"/>
    <w:p>
      <w:pPr>
        <w:pStyle w:val="Bibliography"/>
      </w:pPr>
      <w:r>
        <w:t xml:space="preserve">Xie, A., Ho, J. C. F. and Wang, S. J. (2021) ‘Data City: Leveraging Data Embodiment Towards Building the Sense of Data Ownership’, pp. 365–378. doi:</w:t>
      </w:r>
      <w:r>
        <w:t xml:space="preserve"> </w:t>
      </w:r>
      <w:hyperlink r:id="rId720">
        <w:r>
          <w:rPr>
            <w:rStyle w:val="Hyperlink"/>
          </w:rPr>
          <w:t xml:space="preserve">10.1007/978-3-030-73426-8_22</w:t>
        </w:r>
      </w:hyperlink>
      <w:r>
        <w:t xml:space="preserve">.</w:t>
      </w:r>
    </w:p>
    <w:bookmarkEnd w:id="721"/>
    <w:bookmarkStart w:id="723"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2">
        <w:r>
          <w:rPr>
            <w:rStyle w:val="Hyperlink"/>
          </w:rPr>
          <w:t xml:space="preserve">http://arxiv.org/abs/2007.03505</w:t>
        </w:r>
      </w:hyperlink>
      <w:r>
        <w:t xml:space="preserve">.</w:t>
      </w:r>
    </w:p>
    <w:bookmarkEnd w:id="723"/>
    <w:bookmarkStart w:id="724"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4"/>
    <w:bookmarkStart w:id="726" w:name="ref-ziogas2020"/>
    <w:p>
      <w:pPr>
        <w:pStyle w:val="Bibliography"/>
      </w:pPr>
      <w:r>
        <w:t xml:space="preserve">Ziogas, G. (2020) ‘The Inventor of the World Wide Web Says the Internet Is Broken’. Available at:</w:t>
      </w:r>
      <w:r>
        <w:t xml:space="preserve"> </w:t>
      </w:r>
      <w:hyperlink r:id="rId725">
        <w:r>
          <w:rPr>
            <w:rStyle w:val="Hyperlink"/>
          </w:rPr>
          <w:t xml:space="preserve">https://medium.com/digital-diplomacy/the-inventor-of-the-world-wide-web-says-the-internet-is-broken-fbce1c8bf6cf</w:t>
        </w:r>
      </w:hyperlink>
      <w:r>
        <w:t xml:space="preserve">.</w:t>
      </w:r>
    </w:p>
    <w:bookmarkEnd w:id="726"/>
    <w:bookmarkStart w:id="728"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7">
        <w:r>
          <w:rPr>
            <w:rStyle w:val="Hyperlink"/>
          </w:rPr>
          <w:t xml:space="preserve">https://books.google.co.uk/books?id=W7ZEDgAAQBAJ</w:t>
        </w:r>
      </w:hyperlink>
      <w:r>
        <w:t xml:space="preserve">.</w:t>
      </w:r>
    </w:p>
    <w:bookmarkEnd w:id="728"/>
    <w:bookmarkStart w:id="730"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9">
        <w:r>
          <w:rPr>
            <w:rStyle w:val="Hyperlink"/>
          </w:rPr>
          <w:t xml:space="preserve">10.1017/ipo.2021.30</w:t>
        </w:r>
      </w:hyperlink>
      <w:r>
        <w:t xml:space="preserve">.</w:t>
      </w:r>
    </w:p>
    <w:bookmarkEnd w:id="730"/>
    <w:bookmarkStart w:id="731"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1"/>
    <w:bookmarkEnd w:id="732"/>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2"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698"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7"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0"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29" Target="https://doi.org/10.1017/ipo.2021.30" TargetMode="External" /><Relationship Type="http://schemas.openxmlformats.org/officeDocument/2006/relationships/hyperlink" Id="rId711"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6"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18"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0"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6"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1"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7"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3"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5"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5"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09"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88"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2"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3"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2021-10-27T15:01:27Z</dcterms:created>
  <dcterms:modified xsi:type="dcterms:W3CDTF">2021-10-27T15:01:27Z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